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B87B5" w14:textId="64A31214" w:rsidR="00803740" w:rsidRDefault="00803740" w:rsidP="008A22C6">
      <w:r>
        <w:rPr>
          <w:noProof/>
        </w:rPr>
        <w:drawing>
          <wp:inline distT="0" distB="0" distL="0" distR="0" wp14:anchorId="3CF091DC" wp14:editId="3AAEF2BD">
            <wp:extent cx="5731510" cy="4035670"/>
            <wp:effectExtent l="0" t="0" r="2540" b="3175"/>
            <wp:docPr id="1362495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95868" name=""/>
                    <pic:cNvPicPr/>
                  </pic:nvPicPr>
                  <pic:blipFill rotWithShape="1">
                    <a:blip r:embed="rId9"/>
                    <a:srcRect l="32240" t="19893" r="8597" b="6047"/>
                    <a:stretch/>
                  </pic:blipFill>
                  <pic:spPr bwMode="auto">
                    <a:xfrm>
                      <a:off x="0" y="0"/>
                      <a:ext cx="5736565" cy="403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0BEB4" w14:textId="5EF965CD" w:rsidR="00803740" w:rsidRDefault="00803740" w:rsidP="008A22C6">
      <w:pPr>
        <w:rPr>
          <w:b/>
          <w:bCs/>
        </w:rPr>
      </w:pPr>
      <w:r w:rsidRPr="00803740">
        <w:rPr>
          <w:b/>
          <w:bCs/>
        </w:rPr>
        <w:t>OxLEP Governance and Reporting Structure</w:t>
      </w:r>
    </w:p>
    <w:p w14:paraId="42F1BAD4" w14:textId="77777777" w:rsidR="00D53BDC" w:rsidRDefault="00D53BDC" w:rsidP="008A22C6">
      <w:pPr>
        <w:rPr>
          <w:b/>
          <w:bCs/>
        </w:rPr>
      </w:pPr>
    </w:p>
    <w:p w14:paraId="3D15B034" w14:textId="77777777" w:rsidR="00D53BDC" w:rsidRPr="00D53BDC" w:rsidRDefault="00D53BDC" w:rsidP="00D53BDC">
      <w:pPr>
        <w:spacing w:before="240" w:after="120"/>
        <w:outlineLvl w:val="0"/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D53BDC">
        <w:rPr>
          <w:rFonts w:eastAsia="Times New Roman" w:cs="Times New Roman"/>
          <w:b/>
          <w:color w:val="000000"/>
          <w:kern w:val="0"/>
          <w:lang w:eastAsia="en-GB"/>
          <w14:ligatures w14:val="none"/>
        </w:rPr>
        <w:t>OxLEP Impact 23/24</w:t>
      </w:r>
    </w:p>
    <w:p w14:paraId="04158F44" w14:textId="77777777" w:rsidR="00D53BDC" w:rsidRPr="00D53BDC" w:rsidRDefault="00D53BDC" w:rsidP="00D53BDC">
      <w:pPr>
        <w:tabs>
          <w:tab w:val="left" w:pos="426"/>
        </w:tabs>
        <w:spacing w:after="120"/>
        <w:rPr>
          <w:rFonts w:eastAsiaTheme="minorEastAsia"/>
          <w:kern w:val="0"/>
          <w14:ligatures w14:val="none"/>
        </w:rPr>
      </w:pPr>
      <w:r w:rsidRPr="00D53BDC">
        <w:rPr>
          <w:rFonts w:eastAsia="Times New Roman" w:cs="Times New Roman"/>
          <w:color w:val="000000"/>
          <w:kern w:val="0"/>
          <w:lang w:eastAsia="en-GB"/>
          <w14:ligatures w14:val="none"/>
        </w:rPr>
        <w:t>Highlights of some of the notable impacts of OxLEP activity:</w:t>
      </w:r>
    </w:p>
    <w:p w14:paraId="4A25C50C" w14:textId="72C7F0E6" w:rsidR="00D53BDC" w:rsidRPr="00D53BDC" w:rsidRDefault="00D53BDC" w:rsidP="00D53BDC">
      <w:pPr>
        <w:pStyle w:val="ListParagraph"/>
        <w:numPr>
          <w:ilvl w:val="0"/>
          <w:numId w:val="6"/>
        </w:numPr>
        <w:rPr>
          <w:rFonts w:eastAsiaTheme="minorEastAsia"/>
        </w:rPr>
      </w:pPr>
      <w:proofErr w:type="gramStart"/>
      <w:r w:rsidRPr="00D53BDC">
        <w:rPr>
          <w:rFonts w:eastAsiaTheme="minorEastAsia"/>
          <w:b/>
          <w:bCs/>
        </w:rPr>
        <w:t>1,792  businesses</w:t>
      </w:r>
      <w:proofErr w:type="gramEnd"/>
      <w:r w:rsidRPr="00D53BDC">
        <w:rPr>
          <w:rFonts w:eastAsiaTheme="minorEastAsia"/>
          <w:b/>
          <w:bCs/>
        </w:rPr>
        <w:t xml:space="preserve"> supported, 2153 Hours of support delivered</w:t>
      </w:r>
      <w:r w:rsidRPr="00D53BDC">
        <w:rPr>
          <w:rFonts w:eastAsiaTheme="minorEastAsia"/>
        </w:rPr>
        <w:t xml:space="preserve"> through webinars and workshops etc, 2,677  referrals to other programmes, including ERDF and Skills.</w:t>
      </w:r>
      <w:r w:rsidRPr="00D53BDC">
        <w:t xml:space="preserve"> </w:t>
      </w:r>
      <w:r w:rsidRPr="00D53BDC">
        <w:rPr>
          <w:noProof/>
        </w:rPr>
        <w:t xml:space="preserve">(for full business KPIs please </w:t>
      </w:r>
      <w:r w:rsidRPr="00D53BDC">
        <w:rPr>
          <w:rFonts w:eastAsiaTheme="minorEastAsia"/>
        </w:rPr>
        <w:t>see section below</w:t>
      </w:r>
      <w:r w:rsidRPr="00D53BDC">
        <w:rPr>
          <w:noProof/>
        </w:rPr>
        <w:t xml:space="preserve">) </w:t>
      </w:r>
    </w:p>
    <w:p w14:paraId="260530AE" w14:textId="77777777" w:rsidR="00D53BDC" w:rsidRPr="00D53BDC" w:rsidRDefault="00D53BDC" w:rsidP="00D53BDC">
      <w:pPr>
        <w:numPr>
          <w:ilvl w:val="0"/>
          <w:numId w:val="6"/>
        </w:numPr>
        <w:tabs>
          <w:tab w:val="left" w:pos="426"/>
        </w:tabs>
        <w:spacing w:after="120"/>
        <w:rPr>
          <w:rFonts w:eastAsiaTheme="minorEastAsia"/>
        </w:rPr>
      </w:pPr>
      <w:r w:rsidRPr="00D53BDC">
        <w:rPr>
          <w:rFonts w:eastAsiaTheme="minorEastAsia"/>
          <w:b/>
          <w:bCs/>
        </w:rPr>
        <w:t>Delivered the £1.64m Visitor Economy Renaissance Programme</w:t>
      </w:r>
      <w:r w:rsidRPr="00D53BDC">
        <w:rPr>
          <w:rFonts w:eastAsiaTheme="minorEastAsia"/>
        </w:rPr>
        <w:t>-outputs are described below.</w:t>
      </w:r>
    </w:p>
    <w:p w14:paraId="30295C74" w14:textId="77777777" w:rsidR="00D53BDC" w:rsidRPr="00D53BDC" w:rsidRDefault="00D53BDC" w:rsidP="00D53BDC">
      <w:pPr>
        <w:numPr>
          <w:ilvl w:val="0"/>
          <w:numId w:val="6"/>
        </w:numPr>
        <w:tabs>
          <w:tab w:val="left" w:pos="426"/>
        </w:tabs>
        <w:spacing w:after="120"/>
        <w:rPr>
          <w:rFonts w:eastAsiaTheme="minorEastAsia"/>
          <w:kern w:val="0"/>
          <w14:ligatures w14:val="none"/>
        </w:rPr>
      </w:pPr>
      <w:r w:rsidRPr="00D53BDC">
        <w:rPr>
          <w:rFonts w:eastAsiaTheme="minorEastAsia"/>
          <w:b/>
          <w:bCs/>
        </w:rPr>
        <w:t>Continuing delivery of the £1.7m Social Contract Programme</w:t>
      </w:r>
      <w:r w:rsidRPr="00D53BDC">
        <w:rPr>
          <w:rFonts w:eastAsiaTheme="minorEastAsia"/>
        </w:rPr>
        <w:t xml:space="preserve"> – aimed at supporting those most impacted by the pandemic with new skills and training.</w:t>
      </w:r>
    </w:p>
    <w:p w14:paraId="3DCC8E6E" w14:textId="77777777" w:rsidR="00D53BDC" w:rsidRPr="00D53BDC" w:rsidRDefault="00D53BDC" w:rsidP="00D53BDC">
      <w:pPr>
        <w:numPr>
          <w:ilvl w:val="0"/>
          <w:numId w:val="6"/>
        </w:numPr>
        <w:tabs>
          <w:tab w:val="left" w:pos="426"/>
        </w:tabs>
        <w:spacing w:after="120"/>
        <w:rPr>
          <w:rFonts w:eastAsiaTheme="minorEastAsia"/>
        </w:rPr>
      </w:pPr>
      <w:r w:rsidRPr="00D53BDC">
        <w:rPr>
          <w:rFonts w:eastAsiaTheme="minorEastAsia"/>
        </w:rPr>
        <w:t xml:space="preserve">The apprenticeship levy pot reached </w:t>
      </w:r>
      <w:r w:rsidRPr="00D53BDC">
        <w:rPr>
          <w:rFonts w:eastAsiaTheme="minorEastAsia"/>
          <w:b/>
          <w:bCs/>
        </w:rPr>
        <w:t>£2.58m, exceeding the original target of £1.3m and the aspirational target of £2m</w:t>
      </w:r>
      <w:r w:rsidRPr="00D53BDC">
        <w:rPr>
          <w:rFonts w:eastAsiaTheme="minorEastAsia"/>
        </w:rPr>
        <w:t xml:space="preserve">. The funds have optimised the levy for </w:t>
      </w:r>
      <w:r w:rsidRPr="00D53BDC">
        <w:rPr>
          <w:rFonts w:eastAsiaTheme="minorEastAsia"/>
          <w:b/>
          <w:bCs/>
        </w:rPr>
        <w:t xml:space="preserve">185 new </w:t>
      </w:r>
      <w:r w:rsidRPr="00D53BDC">
        <w:rPr>
          <w:rFonts w:eastAsiaTheme="minorEastAsia"/>
        </w:rPr>
        <w:t>apprenticeship starts.</w:t>
      </w:r>
    </w:p>
    <w:p w14:paraId="6B80E5F4" w14:textId="77777777" w:rsidR="00D53BDC" w:rsidRPr="00D53BDC" w:rsidRDefault="00D53BDC" w:rsidP="00D53BDC">
      <w:pPr>
        <w:numPr>
          <w:ilvl w:val="0"/>
          <w:numId w:val="6"/>
        </w:numPr>
        <w:tabs>
          <w:tab w:val="left" w:pos="426"/>
        </w:tabs>
        <w:spacing w:after="120"/>
        <w:rPr>
          <w:rFonts w:eastAsiaTheme="minorEastAsia"/>
        </w:rPr>
      </w:pPr>
      <w:r w:rsidRPr="00D53BDC">
        <w:rPr>
          <w:rFonts w:eastAsiaTheme="minorEastAsia"/>
          <w:b/>
          <w:bCs/>
        </w:rPr>
        <w:t xml:space="preserve">Supported 58 secondary schools and colleges’ delivery of </w:t>
      </w:r>
      <w:proofErr w:type="spellStart"/>
      <w:r w:rsidRPr="00D53BDC">
        <w:rPr>
          <w:rFonts w:eastAsiaTheme="minorEastAsia"/>
          <w:b/>
          <w:bCs/>
        </w:rPr>
        <w:t>Gatesby</w:t>
      </w:r>
      <w:proofErr w:type="spellEnd"/>
      <w:r w:rsidRPr="00D53BDC">
        <w:rPr>
          <w:rFonts w:eastAsiaTheme="minorEastAsia"/>
          <w:b/>
          <w:bCs/>
        </w:rPr>
        <w:t xml:space="preserve"> Benchmarks</w:t>
      </w:r>
      <w:r w:rsidRPr="00D53BDC">
        <w:rPr>
          <w:rFonts w:eastAsiaTheme="minorEastAsia"/>
        </w:rPr>
        <w:t xml:space="preserve"> – a framework that sets out what world class careers provision in education looks like and provide a clear framework for its delivery. </w:t>
      </w:r>
    </w:p>
    <w:p w14:paraId="41A2C65C" w14:textId="13CC997C" w:rsidR="00D53BDC" w:rsidRPr="00D53BDC" w:rsidRDefault="00D53BDC" w:rsidP="00D53BDC">
      <w:pPr>
        <w:numPr>
          <w:ilvl w:val="0"/>
          <w:numId w:val="6"/>
        </w:numPr>
        <w:tabs>
          <w:tab w:val="left" w:pos="426"/>
        </w:tabs>
        <w:spacing w:after="120"/>
        <w:rPr>
          <w:rFonts w:eastAsiaTheme="minorEastAsia"/>
        </w:rPr>
      </w:pPr>
      <w:r w:rsidRPr="00D53BDC">
        <w:rPr>
          <w:rFonts w:eastAsiaTheme="minorEastAsia"/>
          <w:b/>
          <w:bCs/>
        </w:rPr>
        <w:t xml:space="preserve">Foreign Direct Investment Targets met </w:t>
      </w:r>
      <w:r w:rsidRPr="00D53BDC">
        <w:rPr>
          <w:rFonts w:eastAsiaTheme="minorEastAsia"/>
        </w:rPr>
        <w:t xml:space="preserve">- see section </w:t>
      </w:r>
      <w:r w:rsidRPr="00D53BDC">
        <w:rPr>
          <w:rFonts w:eastAsiaTheme="minorEastAsia"/>
          <w:kern w:val="0"/>
          <w14:ligatures w14:val="none"/>
        </w:rPr>
        <w:t>below</w:t>
      </w:r>
      <w:r w:rsidRPr="00D53BDC">
        <w:rPr>
          <w:rFonts w:eastAsiaTheme="minorEastAsia"/>
        </w:rPr>
        <w:t xml:space="preserve"> (for full breakdown of KPIs)</w:t>
      </w:r>
    </w:p>
    <w:p w14:paraId="1CA08ECA" w14:textId="77777777" w:rsidR="00D53BDC" w:rsidRPr="00D53BDC" w:rsidRDefault="00D53BDC" w:rsidP="00D53BDC">
      <w:pPr>
        <w:spacing w:before="120" w:after="120"/>
        <w:outlineLvl w:val="1"/>
        <w:rPr>
          <w:rFonts w:eastAsiaTheme="minorEastAsia"/>
          <w:b/>
          <w:bCs/>
          <w:kern w:val="0"/>
          <w:u w:val="single"/>
          <w14:ligatures w14:val="none"/>
        </w:rPr>
      </w:pPr>
      <w:r w:rsidRPr="00D53BDC">
        <w:rPr>
          <w:rFonts w:eastAsia="Times New Roman" w:cs="Times New Roman"/>
          <w:color w:val="000000"/>
          <w:kern w:val="0"/>
          <w:u w:val="single"/>
          <w:lang w:eastAsia="en-GB"/>
          <w14:ligatures w14:val="none"/>
        </w:rPr>
        <w:t>Strategy and Internationalisation</w:t>
      </w:r>
    </w:p>
    <w:p w14:paraId="5692AD47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="Times New Roman" w:cs="Times New Roman"/>
          <w:color w:val="000000"/>
          <w:kern w:val="0"/>
          <w14:ligatures w14:val="none"/>
        </w:rPr>
      </w:pPr>
      <w:r w:rsidRPr="00D53BDC">
        <w:rPr>
          <w:rFonts w:cs="Times New Roman"/>
          <w:b/>
          <w:bCs/>
          <w:color w:val="000000"/>
          <w:kern w:val="0"/>
          <w14:ligatures w14:val="none"/>
        </w:rPr>
        <w:t>Oxfordshire Strategic Economic Plan:</w:t>
      </w:r>
      <w:r w:rsidRPr="00D53BDC">
        <w:rPr>
          <w:rFonts w:cs="Times New Roman"/>
          <w:color w:val="000000"/>
          <w:kern w:val="0"/>
          <w14:ligatures w14:val="none"/>
        </w:rPr>
        <w:t xml:space="preserve"> Aligned to its strategic economic planning function described in the LEP review, OxLEP lead and p</w:t>
      </w:r>
      <w:r w:rsidRPr="00D53BDC">
        <w:rPr>
          <w:rFonts w:eastAsia="Times New Roman" w:cs="Times New Roman"/>
          <w:color w:val="000000"/>
          <w:kern w:val="0"/>
          <w14:ligatures w14:val="none"/>
        </w:rPr>
        <w:t xml:space="preserve">ublished a </w:t>
      </w:r>
      <w:r w:rsidRPr="00D53BDC">
        <w:rPr>
          <w:rFonts w:eastAsia="Times New Roman" w:cs="Times New Roman"/>
          <w:color w:val="000000"/>
          <w:kern w:val="0"/>
          <w14:ligatures w14:val="none"/>
        </w:rPr>
        <w:lastRenderedPageBreak/>
        <w:t xml:space="preserve">Strategic Economic Plan (SEP) in December 2023 following an extensive </w:t>
      </w:r>
      <w:proofErr w:type="gramStart"/>
      <w:r w:rsidRPr="00D53BDC">
        <w:rPr>
          <w:rFonts w:eastAsia="Times New Roman" w:cs="Times New Roman"/>
          <w:color w:val="000000"/>
          <w:kern w:val="0"/>
          <w14:ligatures w14:val="none"/>
        </w:rPr>
        <w:t>evidence based</w:t>
      </w:r>
      <w:proofErr w:type="gramEnd"/>
      <w:r w:rsidRPr="00D53BDC">
        <w:rPr>
          <w:rFonts w:eastAsia="Times New Roman" w:cs="Times New Roman"/>
          <w:color w:val="000000"/>
          <w:kern w:val="0"/>
          <w14:ligatures w14:val="none"/>
        </w:rPr>
        <w:t xml:space="preserve"> engagement process over almost 12 months. OxLEP have also finalised the associated Action Plan which highlights the areas of action required to support the SEP ambition. </w:t>
      </w:r>
    </w:p>
    <w:p w14:paraId="540E6B16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cs="Times New Roman"/>
          <w:color w:val="000000"/>
          <w:kern w:val="0"/>
          <w14:ligatures w14:val="none"/>
        </w:rPr>
      </w:pPr>
      <w:r w:rsidRPr="00D53BDC">
        <w:rPr>
          <w:rFonts w:cs="Times New Roman"/>
          <w:b/>
          <w:bCs/>
          <w:color w:val="000000"/>
          <w:kern w:val="0"/>
          <w14:ligatures w14:val="none"/>
        </w:rPr>
        <w:t>Oxfordshire Place Narrative/Oxfordshire Circular Economy:</w:t>
      </w:r>
      <w:r w:rsidRPr="00D53BDC">
        <w:rPr>
          <w:rFonts w:cs="Times New Roman"/>
          <w:color w:val="000000"/>
          <w:kern w:val="0"/>
          <w14:ligatures w14:val="none"/>
        </w:rPr>
        <w:t xml:space="preserve"> As a requirement of the agreed LEP Transition Plan OxLEP developed a further </w:t>
      </w:r>
      <w:r w:rsidRPr="00D53BDC">
        <w:rPr>
          <w:rFonts w:eastAsia="Times New Roman" w:cs="Times New Roman"/>
          <w:color w:val="000000"/>
          <w:kern w:val="0"/>
          <w14:ligatures w14:val="none"/>
        </w:rPr>
        <w:t xml:space="preserve">engagement/workshop process with the County Council Cabinet in response to their desire to review the SEP to ensure </w:t>
      </w:r>
      <w:proofErr w:type="gramStart"/>
      <w:r w:rsidRPr="00D53BDC">
        <w:rPr>
          <w:rFonts w:eastAsia="Times New Roman" w:cs="Times New Roman"/>
          <w:color w:val="000000"/>
          <w:kern w:val="0"/>
          <w14:ligatures w14:val="none"/>
        </w:rPr>
        <w:t>a number of</w:t>
      </w:r>
      <w:proofErr w:type="gramEnd"/>
      <w:r w:rsidRPr="00D53BDC">
        <w:rPr>
          <w:rFonts w:eastAsia="Times New Roman" w:cs="Times New Roman"/>
          <w:color w:val="000000"/>
          <w:kern w:val="0"/>
          <w14:ligatures w14:val="none"/>
        </w:rPr>
        <w:t xml:space="preserve"> emerging strategies commissioned/developed by the County Council over the last 3/6 months are reflected and aligned. These strategies include Oxfordshire Place Narrative, Oxfordshire Circular economy Strategy &amp; Action Plan.</w:t>
      </w:r>
      <w:r w:rsidRPr="00D53BDC">
        <w:rPr>
          <w:rFonts w:cs="Times New Roman"/>
          <w:color w:val="000000"/>
          <w:kern w:val="0"/>
          <w14:ligatures w14:val="none"/>
        </w:rPr>
        <w:t xml:space="preserve"> Several workshops and consultations (June-August 2024) were held with stakeholders and partners with the objective of curating growth in the most sustainable and practical way to support a just and fair society that sustains the economic and social wellbeing of our communities. </w:t>
      </w:r>
    </w:p>
    <w:p w14:paraId="482F1338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Theme="minorEastAsia" w:cs="Times New Roman"/>
          <w:color w:val="000000"/>
        </w:rPr>
      </w:pPr>
      <w:r w:rsidRPr="00D53BDC">
        <w:rPr>
          <w:rFonts w:eastAsiaTheme="minorEastAsia" w:cs="Times New Roman"/>
          <w:b/>
          <w:bCs/>
          <w:color w:val="000000"/>
          <w:kern w:val="0"/>
          <w14:ligatures w14:val="none"/>
        </w:rPr>
        <w:t>Invest Oxfordshire:</w:t>
      </w:r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OxLEP has updated and refreshed Seven Sector Brochures, available here- </w:t>
      </w:r>
      <w:hyperlink r:id="rId10">
        <w:r w:rsidRPr="00D53BDC">
          <w:rPr>
            <w:rFonts w:eastAsiaTheme="minorEastAsia" w:cs="Times New Roman"/>
            <w:color w:val="0000FF"/>
            <w:kern w:val="0"/>
            <w:u w:val="single"/>
            <w14:ligatures w14:val="none"/>
          </w:rPr>
          <w:t>Invest in Oxfordshire</w:t>
        </w:r>
      </w:hyperlink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.  </w:t>
      </w:r>
      <w:proofErr w:type="gramStart"/>
      <w:r w:rsidRPr="00D53BDC">
        <w:rPr>
          <w:rFonts w:eastAsiaTheme="minorEastAsia" w:cs="Times New Roman"/>
          <w:color w:val="000000"/>
          <w:kern w:val="0"/>
          <w14:ligatures w14:val="none"/>
        </w:rPr>
        <w:t>Also</w:t>
      </w:r>
      <w:proofErr w:type="gramEnd"/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Investment focused ‘Oxford Calling’ has developed to promote the Oxfordshire innovation cluster and latest investment news </w:t>
      </w:r>
      <w:hyperlink r:id="rId11">
        <w:r w:rsidRPr="00D53BDC">
          <w:rPr>
            <w:rFonts w:eastAsiaTheme="minorEastAsia" w:cs="Times New Roman"/>
            <w:color w:val="0000FF"/>
            <w:kern w:val="0"/>
            <w:u w:val="single"/>
            <w14:ligatures w14:val="none"/>
          </w:rPr>
          <w:t>www.oxfordcalling.co.uk</w:t>
        </w:r>
      </w:hyperlink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</w:t>
      </w:r>
    </w:p>
    <w:p w14:paraId="51011838" w14:textId="509BE33B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Theme="minorEastAsia" w:cs="Times New Roman"/>
          <w:color w:val="000000"/>
        </w:rPr>
      </w:pPr>
      <w:r w:rsidRPr="00D53BDC">
        <w:rPr>
          <w:rFonts w:eastAsiaTheme="minorEastAsia" w:cs="Times New Roman"/>
          <w:b/>
          <w:bCs/>
          <w:color w:val="000000"/>
          <w:kern w:val="0"/>
          <w14:ligatures w14:val="none"/>
        </w:rPr>
        <w:t>Foreign Direct Investment (FDI) outcomes for the year 2023/24</w:t>
      </w:r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: over £570 million in investment, supporting over 2, 486 jobs. 46 FDI successes since April 2023, 13 at Band </w:t>
      </w:r>
      <w:proofErr w:type="gramStart"/>
      <w:r w:rsidRPr="00D53BDC">
        <w:rPr>
          <w:rFonts w:eastAsiaTheme="minorEastAsia" w:cs="Times New Roman"/>
          <w:color w:val="000000"/>
          <w:kern w:val="0"/>
          <w14:ligatures w14:val="none"/>
        </w:rPr>
        <w:t>A ,</w:t>
      </w:r>
      <w:proofErr w:type="gramEnd"/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the highest investment band. Please see </w:t>
      </w:r>
      <w:r w:rsidRPr="00D53BDC">
        <w:rPr>
          <w:rFonts w:eastAsiaTheme="minorEastAsia"/>
        </w:rPr>
        <w:t xml:space="preserve">section </w:t>
      </w:r>
      <w:r w:rsidRPr="00D53BDC">
        <w:rPr>
          <w:rFonts w:eastAsiaTheme="minorEastAsia"/>
          <w:kern w:val="0"/>
          <w14:ligatures w14:val="none"/>
        </w:rPr>
        <w:t>below</w:t>
      </w:r>
      <w:r w:rsidRPr="00D53BDC">
        <w:rPr>
          <w:rFonts w:eastAsiaTheme="minorEastAsia"/>
        </w:rPr>
        <w:t xml:space="preserve"> </w:t>
      </w:r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for full breakdown. </w:t>
      </w:r>
      <w:r w:rsidRPr="00D53BDC">
        <w:rPr>
          <w:rFonts w:eastAsiaTheme="minorEastAsia"/>
        </w:rPr>
        <w:t>Current targets for the last few years have been exceeded and FDI results continue to be strong.</w:t>
      </w:r>
    </w:p>
    <w:p w14:paraId="320B041F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Theme="minorEastAsia" w:cs="Times New Roman"/>
          <w:color w:val="000000"/>
          <w:kern w:val="0"/>
          <w14:ligatures w14:val="none"/>
        </w:rPr>
      </w:pPr>
      <w:r w:rsidRPr="00D53BDC">
        <w:rPr>
          <w:rFonts w:eastAsiaTheme="minorEastAsia" w:cs="Times New Roman"/>
          <w:b/>
          <w:bCs/>
          <w:color w:val="000000"/>
          <w:kern w:val="0"/>
          <w14:ligatures w14:val="none"/>
        </w:rPr>
        <w:t>Export support provided via OxLEP Business: Growth Hub</w:t>
      </w:r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saw 47 businesses engaged with the Export webinars and workshops and 70 hours of Export coaching and 1 to 1 support was provided to 9 businesses.</w:t>
      </w:r>
    </w:p>
    <w:p w14:paraId="6BA9E2B0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Theme="minorEastAsia" w:cs="Times New Roman"/>
          <w:color w:val="000000"/>
          <w:kern w:val="0"/>
          <w14:ligatures w14:val="none"/>
        </w:rPr>
      </w:pPr>
      <w:r w:rsidRPr="00D53BDC">
        <w:rPr>
          <w:rFonts w:eastAsiaTheme="minorEastAsia" w:cs="Times New Roman"/>
          <w:b/>
          <w:bCs/>
          <w:color w:val="000000"/>
          <w:kern w:val="0"/>
          <w14:ligatures w14:val="none"/>
        </w:rPr>
        <w:t>Visitor Economy Renaissance Programme</w:t>
      </w:r>
    </w:p>
    <w:p w14:paraId="6F6A7A70" w14:textId="77777777" w:rsidR="00D53BDC" w:rsidRPr="00D53BDC" w:rsidRDefault="00D53BDC" w:rsidP="00D53BDC">
      <w:pPr>
        <w:tabs>
          <w:tab w:val="left" w:pos="426"/>
        </w:tabs>
        <w:spacing w:after="120"/>
        <w:ind w:left="360"/>
        <w:rPr>
          <w:rFonts w:eastAsiaTheme="minorEastAsia" w:cs="Times New Roman"/>
          <w:color w:val="000000"/>
          <w:kern w:val="0"/>
          <w14:ligatures w14:val="none"/>
        </w:rPr>
      </w:pPr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A £1.64 million COMF funded </w:t>
      </w:r>
      <w:proofErr w:type="gramStart"/>
      <w:r w:rsidRPr="00D53BDC">
        <w:rPr>
          <w:rFonts w:eastAsiaTheme="minorEastAsia" w:cs="Times New Roman"/>
          <w:color w:val="000000"/>
          <w:kern w:val="0"/>
          <w14:ligatures w14:val="none"/>
        </w:rPr>
        <w:t>two year</w:t>
      </w:r>
      <w:proofErr w:type="gramEnd"/>
      <w:r w:rsidRPr="00D53BDC">
        <w:rPr>
          <w:rFonts w:eastAsiaTheme="minorEastAsia" w:cs="Times New Roman"/>
          <w:color w:val="000000"/>
          <w:kern w:val="0"/>
          <w14:ligatures w14:val="none"/>
        </w:rPr>
        <w:t xml:space="preserve"> programme finalised as of March 2024.  Key outputs achieved:</w:t>
      </w:r>
    </w:p>
    <w:p w14:paraId="62E8084E" w14:textId="77777777" w:rsidR="00D53BDC" w:rsidRPr="00D53BDC" w:rsidRDefault="00D53BDC" w:rsidP="00D53BDC">
      <w:pPr>
        <w:numPr>
          <w:ilvl w:val="1"/>
          <w:numId w:val="5"/>
        </w:numPr>
        <w:spacing w:after="120"/>
      </w:pPr>
      <w:r w:rsidRPr="00D53BDC">
        <w:t xml:space="preserve">Successful delivery of nine marketing campaigns delivered to encourage overnight visits and spend in off peak </w:t>
      </w:r>
      <w:proofErr w:type="gramStart"/>
      <w:r w:rsidRPr="00D53BDC">
        <w:t>periods</w:t>
      </w:r>
      <w:proofErr w:type="gramEnd"/>
    </w:p>
    <w:p w14:paraId="7A938EA5" w14:textId="77777777" w:rsidR="00D53BDC" w:rsidRPr="00D53BDC" w:rsidRDefault="00D53BDC" w:rsidP="00D53BDC">
      <w:pPr>
        <w:numPr>
          <w:ilvl w:val="1"/>
          <w:numId w:val="5"/>
        </w:numPr>
        <w:spacing w:after="120"/>
      </w:pPr>
      <w:r w:rsidRPr="00D53BDC">
        <w:t>Visitor Economy Grant supported 52 with total grants allocated of £840,884.</w:t>
      </w:r>
    </w:p>
    <w:p w14:paraId="09D448E1" w14:textId="77777777" w:rsidR="00D53BDC" w:rsidRPr="00D53BDC" w:rsidRDefault="00D53BDC" w:rsidP="00D53BDC">
      <w:pPr>
        <w:numPr>
          <w:ilvl w:val="1"/>
          <w:numId w:val="5"/>
        </w:numPr>
        <w:spacing w:after="120"/>
      </w:pPr>
      <w:r w:rsidRPr="00D53BDC">
        <w:t>63 businesses received tailored digital support via Growth Hub</w:t>
      </w:r>
    </w:p>
    <w:p w14:paraId="2FFC99CF" w14:textId="77777777" w:rsidR="00D53BDC" w:rsidRPr="00D53BDC" w:rsidRDefault="00D53BDC" w:rsidP="00D53BDC">
      <w:pPr>
        <w:numPr>
          <w:ilvl w:val="1"/>
          <w:numId w:val="5"/>
        </w:numPr>
        <w:spacing w:after="120"/>
      </w:pPr>
      <w:r w:rsidRPr="00D53BDC">
        <w:t xml:space="preserve">Business Visitor offer promoted at two key overseas </w:t>
      </w:r>
      <w:proofErr w:type="gramStart"/>
      <w:r w:rsidRPr="00D53BDC">
        <w:t>events</w:t>
      </w:r>
      <w:proofErr w:type="gramEnd"/>
    </w:p>
    <w:p w14:paraId="08A56B46" w14:textId="77777777" w:rsidR="00D53BDC" w:rsidRPr="00D53BDC" w:rsidRDefault="00D53BDC" w:rsidP="00D53BDC">
      <w:pPr>
        <w:numPr>
          <w:ilvl w:val="1"/>
          <w:numId w:val="5"/>
        </w:numPr>
        <w:spacing w:after="120"/>
      </w:pPr>
      <w:r w:rsidRPr="00D53BDC">
        <w:t xml:space="preserve">Oxfordshire Welcome created by Experience Oxfordshire -over 150 businesses signed </w:t>
      </w:r>
      <w:proofErr w:type="gramStart"/>
      <w:r w:rsidRPr="00D53BDC">
        <w:t>up</w:t>
      </w:r>
      <w:proofErr w:type="gramEnd"/>
    </w:p>
    <w:p w14:paraId="4D11246F" w14:textId="7A532DE1" w:rsidR="00D53BDC" w:rsidRPr="00D53BDC" w:rsidRDefault="00D53BDC" w:rsidP="00D53BDC">
      <w:pPr>
        <w:numPr>
          <w:ilvl w:val="1"/>
          <w:numId w:val="5"/>
        </w:numPr>
        <w:spacing w:after="120"/>
        <w:rPr>
          <w:rFonts w:eastAsiaTheme="minorEastAsia"/>
        </w:rPr>
      </w:pPr>
      <w:r w:rsidRPr="00D53BDC">
        <w:rPr>
          <w:rFonts w:eastAsiaTheme="minorEastAsia"/>
        </w:rPr>
        <w:t xml:space="preserve">Destination Management Plan- funding to be </w:t>
      </w:r>
      <w:proofErr w:type="gramStart"/>
      <w:r w:rsidRPr="00D53BDC">
        <w:rPr>
          <w:rFonts w:eastAsiaTheme="minorEastAsia"/>
        </w:rPr>
        <w:t>secured</w:t>
      </w:r>
      <w:proofErr w:type="gramEnd"/>
    </w:p>
    <w:p w14:paraId="25AFA585" w14:textId="77777777" w:rsidR="00D53BDC" w:rsidRPr="00D53BDC" w:rsidRDefault="00D53BDC" w:rsidP="00D53BDC">
      <w:pPr>
        <w:spacing w:after="120"/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</w:pPr>
    </w:p>
    <w:p w14:paraId="5E6DA812" w14:textId="77777777" w:rsidR="00D53BDC" w:rsidRPr="00D53BDC" w:rsidRDefault="00D53BDC" w:rsidP="00D53BDC">
      <w:pPr>
        <w:spacing w:before="120" w:after="120"/>
        <w:outlineLvl w:val="1"/>
        <w:rPr>
          <w:rFonts w:eastAsia="Times New Roman" w:cs="Times New Roman"/>
          <w:b/>
          <w:bCs/>
          <w:kern w:val="0"/>
          <w:u w:val="single"/>
          <w:lang w:eastAsia="en-GB"/>
          <w14:ligatures w14:val="none"/>
        </w:rPr>
      </w:pPr>
      <w:r w:rsidRPr="00D53BDC">
        <w:rPr>
          <w:rFonts w:eastAsia="Times New Roman" w:cs="Times New Roman"/>
          <w:color w:val="000000"/>
          <w:kern w:val="0"/>
          <w:u w:val="single"/>
          <w:lang w:eastAsia="en-GB"/>
          <w14:ligatures w14:val="none"/>
        </w:rPr>
        <w:t xml:space="preserve">Business Support (OXLEP Business) </w:t>
      </w:r>
    </w:p>
    <w:p w14:paraId="2FD5A2B1" w14:textId="77777777" w:rsidR="00D53BDC" w:rsidRPr="00D53BDC" w:rsidRDefault="00D53BDC" w:rsidP="00D53BDC">
      <w:pPr>
        <w:numPr>
          <w:ilvl w:val="0"/>
          <w:numId w:val="2"/>
        </w:numPr>
        <w:tabs>
          <w:tab w:val="left" w:pos="426"/>
        </w:tabs>
        <w:spacing w:after="120"/>
        <w:rPr>
          <w:rFonts w:eastAsiaTheme="minorEastAsia"/>
          <w:b/>
          <w:bCs/>
        </w:rPr>
      </w:pPr>
      <w:r w:rsidRPr="00D53BDC">
        <w:rPr>
          <w:rFonts w:eastAsiaTheme="minorEastAsia"/>
          <w:b/>
          <w:bCs/>
        </w:rPr>
        <w:t>Growth Hub Delivery Programme 2023/24</w:t>
      </w:r>
    </w:p>
    <w:p w14:paraId="31CF2636" w14:textId="77777777" w:rsidR="00D53BDC" w:rsidRPr="00D53BDC" w:rsidRDefault="00D53BDC" w:rsidP="00D53BDC">
      <w:pPr>
        <w:numPr>
          <w:ilvl w:val="1"/>
          <w:numId w:val="2"/>
        </w:numPr>
        <w:tabs>
          <w:tab w:val="left" w:pos="426"/>
        </w:tabs>
        <w:spacing w:after="120"/>
      </w:pPr>
      <w:r w:rsidRPr="00D53BDC">
        <w:t xml:space="preserve">Activity and Funding </w:t>
      </w:r>
    </w:p>
    <w:tbl>
      <w:tblPr>
        <w:tblW w:w="8530" w:type="dxa"/>
        <w:tblInd w:w="-4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26"/>
        <w:gridCol w:w="3704"/>
      </w:tblGrid>
      <w:tr w:rsidR="00D53BDC" w:rsidRPr="00D53BDC" w14:paraId="63062871" w14:textId="77777777" w:rsidTr="006B6D50">
        <w:trPr>
          <w:trHeight w:val="378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2F9AB26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  <w14:ligatures w14:val="none"/>
              </w:rPr>
              <w:lastRenderedPageBreak/>
              <w:t>Activity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F27C038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en-GB"/>
                <w14:ligatures w14:val="none"/>
              </w:rPr>
              <w:t>Funding available where appropriate</w:t>
            </w:r>
          </w:p>
        </w:tc>
      </w:tr>
      <w:tr w:rsidR="00D53BDC" w:rsidRPr="00D53BDC" w14:paraId="5B0406EB" w14:textId="77777777" w:rsidTr="006B6D50">
        <w:trPr>
          <w:trHeight w:val="378"/>
        </w:trPr>
        <w:tc>
          <w:tcPr>
            <w:tcW w:w="48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E4A59E1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Core Growth Hub support</w:t>
            </w:r>
          </w:p>
        </w:tc>
        <w:tc>
          <w:tcPr>
            <w:tcW w:w="37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566FCFC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£261k (funded) – total funding £437k</w:t>
            </w:r>
          </w:p>
        </w:tc>
      </w:tr>
      <w:tr w:rsidR="00D53BDC" w:rsidRPr="00D53BDC" w14:paraId="31104543" w14:textId="77777777" w:rsidTr="006B6D50">
        <w:trPr>
          <w:trHeight w:val="216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48A4820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BIF 2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7FDDCE7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£200k</w:t>
            </w:r>
          </w:p>
        </w:tc>
      </w:tr>
      <w:tr w:rsidR="00D53BDC" w:rsidRPr="00D53BDC" w14:paraId="2C013BDD" w14:textId="77777777" w:rsidTr="006B6D50">
        <w:trPr>
          <w:trHeight w:val="378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83DEFC8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Visitor Economy grants – 2 rounds over 1.5 years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B24C0B1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£750k (final claims due in May)</w:t>
            </w:r>
          </w:p>
        </w:tc>
      </w:tr>
      <w:tr w:rsidR="00D53BDC" w:rsidRPr="00D53BDC" w14:paraId="0546E755" w14:textId="77777777" w:rsidTr="006B6D50">
        <w:trPr>
          <w:trHeight w:val="378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66266E6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West Oxfordshire Advisor sessions – both rounds completed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81268AF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£13,500</w:t>
            </w:r>
          </w:p>
        </w:tc>
      </w:tr>
      <w:tr w:rsidR="00D53BDC" w:rsidRPr="00D53BDC" w14:paraId="28BE24E9" w14:textId="77777777" w:rsidTr="006B6D50">
        <w:trPr>
          <w:trHeight w:val="378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C254E9F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Code Red – Business Resilience – through to March 2025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E45D9B8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£27,500</w:t>
            </w:r>
          </w:p>
        </w:tc>
      </w:tr>
      <w:tr w:rsidR="00D53BDC" w:rsidRPr="00D53BDC" w14:paraId="29F9EE28" w14:textId="77777777" w:rsidTr="006B6D50">
        <w:trPr>
          <w:trHeight w:val="462"/>
        </w:trPr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19AD9E9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Theme="minorHAnsi" w:eastAsiaTheme="minorEastAsia" w:hAnsi="Calibri" w:cstheme="minorBid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Supporting Ukrainian Nationals - Asylum Welcome – start Up support</w:t>
            </w:r>
          </w:p>
        </w:tc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CA67C43" w14:textId="77777777" w:rsidR="00D53BDC" w:rsidRPr="00D53BDC" w:rsidRDefault="00D53BDC" w:rsidP="00D53BDC">
            <w:pPr>
              <w:rPr>
                <w:rFonts w:eastAsia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en-GB"/>
                <w14:ligatures w14:val="none"/>
              </w:rPr>
              <w:t>£5,500</w:t>
            </w:r>
          </w:p>
        </w:tc>
      </w:tr>
    </w:tbl>
    <w:p w14:paraId="743249DF" w14:textId="77777777" w:rsidR="00D53BDC" w:rsidRPr="00D53BDC" w:rsidRDefault="00D53BDC" w:rsidP="00D53BDC">
      <w:pPr>
        <w:spacing w:after="120"/>
        <w:rPr>
          <w:rFonts w:eastAsia="Times New Roman" w:cs="Times New Roman"/>
          <w:b/>
          <w:bCs/>
          <w:kern w:val="0"/>
          <w:lang w:eastAsia="en-GB"/>
          <w14:ligatures w14:val="none"/>
        </w:rPr>
      </w:pPr>
    </w:p>
    <w:p w14:paraId="4848EBF1" w14:textId="77777777" w:rsidR="00D53BDC" w:rsidRPr="00D53BDC" w:rsidRDefault="00D53BDC" w:rsidP="00D53BDC">
      <w:pPr>
        <w:numPr>
          <w:ilvl w:val="1"/>
          <w:numId w:val="2"/>
        </w:numPr>
        <w:tabs>
          <w:tab w:val="left" w:pos="426"/>
        </w:tabs>
        <w:spacing w:after="120"/>
        <w:rPr>
          <w:rFonts w:eastAsia="Times New Roman" w:cs="Times New Roman"/>
          <w:color w:val="000000"/>
          <w:kern w:val="0"/>
          <w:lang w:eastAsia="en-GB"/>
          <w14:ligatures w14:val="none"/>
        </w:rPr>
      </w:pPr>
      <w:r w:rsidRPr="00D53BDC">
        <w:rPr>
          <w:rFonts w:eastAsia="Times New Roman" w:cs="Times New Roman"/>
          <w:color w:val="000000"/>
          <w:kern w:val="0"/>
          <w:lang w:eastAsia="en-GB"/>
          <w14:ligatures w14:val="none"/>
        </w:rPr>
        <w:t>Programmes and Activities-support since April 23</w:t>
      </w:r>
    </w:p>
    <w:tbl>
      <w:tblPr>
        <w:tblW w:w="10491" w:type="dxa"/>
        <w:tblInd w:w="-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96"/>
        <w:gridCol w:w="3793"/>
        <w:gridCol w:w="3402"/>
      </w:tblGrid>
      <w:tr w:rsidR="00D53BDC" w:rsidRPr="00D53BDC" w14:paraId="53AF38F9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090672D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0"/>
                <w:szCs w:val="20"/>
                <w:lang w:eastAsia="en-GB"/>
                <w14:ligatures w14:val="none"/>
              </w:rPr>
              <w:t>Programmes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ED2EF08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0"/>
                <w:szCs w:val="20"/>
                <w:lang w:eastAsia="en-GB"/>
                <w14:ligatures w14:val="none"/>
              </w:rPr>
              <w:t>Examples of webinars/workshops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D28DCE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0"/>
                <w:szCs w:val="20"/>
                <w:lang w:eastAsia="en-GB"/>
                <w14:ligatures w14:val="none"/>
              </w:rPr>
              <w:t>Other activity</w:t>
            </w:r>
          </w:p>
        </w:tc>
      </w:tr>
      <w:tr w:rsidR="00D53BDC" w:rsidRPr="00D53BDC" w14:paraId="44276E62" w14:textId="77777777" w:rsidTr="006B6D50">
        <w:trPr>
          <w:trHeight w:val="585"/>
        </w:trPr>
        <w:tc>
          <w:tcPr>
            <w:tcW w:w="32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42984FF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Monthly </w:t>
            </w:r>
            <w:proofErr w:type="spellStart"/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OxBOost</w:t>
            </w:r>
            <w:proofErr w:type="spellEnd"/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 Networking – network of 280</w:t>
            </w:r>
          </w:p>
        </w:tc>
        <w:tc>
          <w:tcPr>
            <w:tcW w:w="37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7DFEAA0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Understanding your B2B customers and how they have changed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438DA9B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Launch of Business Directory - 81</w:t>
            </w:r>
          </w:p>
        </w:tc>
      </w:tr>
      <w:tr w:rsidR="00D53BDC" w:rsidRPr="00D53BDC" w14:paraId="60C1A2DF" w14:textId="77777777" w:rsidTr="006B6D50">
        <w:trPr>
          <w:trHeight w:val="819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7C28C08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Quarterly OxLEP Women in Business Networking – network of 169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D82CDFF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Crafting Compelling Business Stories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E25873A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Progressing through final VEG 2 grant claims (completion May 2024)</w:t>
            </w:r>
          </w:p>
        </w:tc>
      </w:tr>
      <w:tr w:rsidR="00D53BDC" w:rsidRPr="00D53BDC" w14:paraId="0607BB80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F9226F0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Business Drop In – BIPC Oxford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4ECD4E7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Unlocking Your Export Potential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CB06462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Launch of Networking home page</w:t>
            </w:r>
          </w:p>
        </w:tc>
      </w:tr>
      <w:tr w:rsidR="00D53BDC" w:rsidRPr="00D53BDC" w14:paraId="7ADB74CB" w14:textId="77777777" w:rsidTr="006B6D50">
        <w:trPr>
          <w:trHeight w:val="585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1B0E44E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Start Up Bootcamps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A337721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Networking do’s, don’t and success strategies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36DEAF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Code Red – Resilience project – Collaboration with TVLEP and BBF</w:t>
            </w:r>
          </w:p>
        </w:tc>
      </w:tr>
      <w:tr w:rsidR="00D53BDC" w:rsidRPr="00D53BDC" w14:paraId="590127F7" w14:textId="77777777" w:rsidTr="006B6D50">
        <w:trPr>
          <w:trHeight w:val="585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01C8E00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Mentoring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2807262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proofErr w:type="gramStart"/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So</w:t>
            </w:r>
            <w:proofErr w:type="gramEnd"/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 You Want to Start a Business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4B11861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WODC 121 advisor session to support Rural grant scheme</w:t>
            </w:r>
          </w:p>
        </w:tc>
      </w:tr>
      <w:tr w:rsidR="00D53BDC" w:rsidRPr="00D53BDC" w14:paraId="7CB1297D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C6709B2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Strategic Business reviews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7EBB8C6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Growing from 2 to 5 staff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91C45DD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Refresh resources page</w:t>
            </w:r>
          </w:p>
        </w:tc>
      </w:tr>
      <w:tr w:rsidR="00D53BDC" w:rsidRPr="00D53BDC" w14:paraId="6780E528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391AA6E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Investment Readiness Club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64407EA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5 A Day </w:t>
            </w:r>
            <w:proofErr w:type="gramStart"/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-  </w:t>
            </w:r>
            <w:r w:rsidRPr="00D53BD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CEO</w:t>
            </w:r>
            <w:proofErr w:type="gramEnd"/>
            <w:r w:rsidRPr="00D53BD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Targeted series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AF08090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Development of a new website</w:t>
            </w:r>
          </w:p>
        </w:tc>
      </w:tr>
      <w:tr w:rsidR="00D53BDC" w:rsidRPr="00D53BDC" w14:paraId="65637942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6E42F5C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Foundations to Growth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AF9B19E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US" w:eastAsia="en-GB"/>
                <w14:ligatures w14:val="none"/>
              </w:rPr>
              <w:t>Using AI In Your Business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81FC208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OxLEP Business showcase x 2</w:t>
            </w:r>
          </w:p>
        </w:tc>
      </w:tr>
      <w:tr w:rsidR="00D53BDC" w:rsidRPr="00D53BDC" w14:paraId="6814BB36" w14:textId="77777777" w:rsidTr="006B6D50">
        <w:trPr>
          <w:trHeight w:val="585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42FB657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Unlocking Export Potential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572E78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Digital Sale Masterclass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428B0D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Facilitation of Net Zero/Carbon Reduction Group</w:t>
            </w:r>
          </w:p>
        </w:tc>
      </w:tr>
      <w:tr w:rsidR="00D53BDC" w:rsidRPr="00D53BDC" w14:paraId="036BF6D0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E5EECAB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Leadership Peer Network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AAA4519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Net Zero Master classes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12995FE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 xml:space="preserve">Ukrainian Nationals - Asylum Welcome </w:t>
            </w:r>
          </w:p>
        </w:tc>
      </w:tr>
      <w:tr w:rsidR="00D53BDC" w:rsidRPr="00D53BDC" w14:paraId="09DE0F61" w14:textId="77777777" w:rsidTr="006B6D50">
        <w:trPr>
          <w:trHeight w:val="585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FE82C41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Monthly newsletter on behalf of OxLEP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8F6974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CXO Masterclasses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7163437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Finished Business Investment Fund grant scheme</w:t>
            </w:r>
          </w:p>
        </w:tc>
      </w:tr>
      <w:tr w:rsidR="00D53BDC" w:rsidRPr="00D53BDC" w14:paraId="541BF673" w14:textId="77777777" w:rsidTr="006B6D50">
        <w:trPr>
          <w:trHeight w:val="351"/>
        </w:trPr>
        <w:tc>
          <w:tcPr>
            <w:tcW w:w="3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700B735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121 support (20 advisors)</w:t>
            </w:r>
          </w:p>
        </w:tc>
        <w:tc>
          <w:tcPr>
            <w:tcW w:w="37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1814438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D53BDC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eastAsia="en-GB"/>
                <w14:ligatures w14:val="none"/>
              </w:rPr>
              <w:t>Developing your purpose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722FBA0" w14:textId="77777777" w:rsidR="00D53BDC" w:rsidRPr="00D53BDC" w:rsidRDefault="00D53BDC" w:rsidP="00D53BDC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</w:p>
        </w:tc>
      </w:tr>
    </w:tbl>
    <w:p w14:paraId="275D2812" w14:textId="77777777" w:rsidR="00D53BDC" w:rsidRPr="00D53BDC" w:rsidRDefault="00D53BDC" w:rsidP="00D53BDC">
      <w:pPr>
        <w:spacing w:after="120"/>
        <w:rPr>
          <w:rFonts w:eastAsia="Times New Roman" w:cs="Times New Roman"/>
          <w:color w:val="000000"/>
          <w:kern w:val="0"/>
          <w:lang w:eastAsia="en-GB"/>
          <w14:ligatures w14:val="none"/>
        </w:rPr>
      </w:pPr>
    </w:p>
    <w:p w14:paraId="3426519C" w14:textId="77777777" w:rsidR="00D53BDC" w:rsidRDefault="00D53BDC" w:rsidP="008A22C6">
      <w:pPr>
        <w:rPr>
          <w:b/>
          <w:bCs/>
        </w:rPr>
      </w:pPr>
    </w:p>
    <w:p w14:paraId="667E0D05" w14:textId="77777777" w:rsidR="00D53BDC" w:rsidRPr="00803740" w:rsidRDefault="00D53BDC" w:rsidP="008A22C6">
      <w:pPr>
        <w:rPr>
          <w:b/>
          <w:bCs/>
        </w:rPr>
      </w:pPr>
    </w:p>
    <w:p w14:paraId="48B49D55" w14:textId="77777777" w:rsidR="00803740" w:rsidRDefault="00803740" w:rsidP="008A22C6"/>
    <w:p w14:paraId="51EA31AE" w14:textId="0F40EC44" w:rsidR="008A22C6" w:rsidRDefault="006B13A0" w:rsidP="008A22C6">
      <w:r w:rsidRPr="00A06A83">
        <w:rPr>
          <w:noProof/>
        </w:rPr>
        <w:lastRenderedPageBreak/>
        <w:drawing>
          <wp:inline distT="0" distB="0" distL="0" distR="0" wp14:anchorId="596FF130" wp14:editId="053FEC9E">
            <wp:extent cx="5731510" cy="2277070"/>
            <wp:effectExtent l="0" t="0" r="2540" b="9525"/>
            <wp:docPr id="102158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88835" name=""/>
                    <pic:cNvPicPr/>
                  </pic:nvPicPr>
                  <pic:blipFill rotWithShape="1">
                    <a:blip r:embed="rId12"/>
                    <a:srcRect l="27640" t="28872" r="5249" b="23709"/>
                    <a:stretch/>
                  </pic:blipFill>
                  <pic:spPr bwMode="auto">
                    <a:xfrm>
                      <a:off x="0" y="0"/>
                      <a:ext cx="5731510" cy="227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22992" w14:textId="77777777" w:rsidR="007C4753" w:rsidRPr="007C4753" w:rsidRDefault="007C4753" w:rsidP="007C4753">
      <w:pPr>
        <w:rPr>
          <w:b/>
          <w:bCs/>
        </w:rPr>
      </w:pPr>
      <w:r w:rsidRPr="007C4753">
        <w:rPr>
          <w:b/>
          <w:bCs/>
        </w:rPr>
        <w:t>Figure 1: OxLEP Business KPIs 2024/5</w:t>
      </w:r>
    </w:p>
    <w:p w14:paraId="07126583" w14:textId="77777777" w:rsidR="006B13A0" w:rsidRDefault="006B13A0" w:rsidP="008A22C6"/>
    <w:p w14:paraId="6DFBCDE6" w14:textId="77777777" w:rsidR="006B13A0" w:rsidRDefault="006B13A0" w:rsidP="008A22C6"/>
    <w:p w14:paraId="459A6AE0" w14:textId="239AC629" w:rsidR="006B13A0" w:rsidRDefault="006B13A0" w:rsidP="008A22C6">
      <w:r>
        <w:rPr>
          <w:noProof/>
        </w:rPr>
        <w:drawing>
          <wp:inline distT="0" distB="0" distL="0" distR="0" wp14:anchorId="0412CAD9" wp14:editId="167ECA35">
            <wp:extent cx="5731510" cy="2334927"/>
            <wp:effectExtent l="0" t="0" r="2540" b="8255"/>
            <wp:docPr id="1091358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58503" name=""/>
                    <pic:cNvPicPr/>
                  </pic:nvPicPr>
                  <pic:blipFill rotWithShape="1">
                    <a:blip r:embed="rId13"/>
                    <a:srcRect l="27748" t="28680" r="5464" b="22945"/>
                    <a:stretch/>
                  </pic:blipFill>
                  <pic:spPr bwMode="auto">
                    <a:xfrm>
                      <a:off x="0" y="0"/>
                      <a:ext cx="5731510" cy="233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AEA77" w14:textId="00090578" w:rsidR="006B13A0" w:rsidRPr="007C4753" w:rsidRDefault="006B13A0" w:rsidP="008A22C6">
      <w:pPr>
        <w:rPr>
          <w:b/>
          <w:bCs/>
        </w:rPr>
      </w:pPr>
      <w:r w:rsidRPr="007C4753">
        <w:rPr>
          <w:b/>
          <w:bCs/>
        </w:rPr>
        <w:t>Figure 2: OxLEP People KPIs 2024/5</w:t>
      </w:r>
    </w:p>
    <w:p w14:paraId="6E230224" w14:textId="77777777" w:rsidR="006B13A0" w:rsidRDefault="006B13A0" w:rsidP="008A22C6"/>
    <w:p w14:paraId="7F3BE151" w14:textId="03B0C626" w:rsidR="006B13A0" w:rsidRDefault="006B13A0" w:rsidP="008A22C6">
      <w:r w:rsidRPr="00A06A83">
        <w:rPr>
          <w:noProof/>
        </w:rPr>
        <w:drawing>
          <wp:inline distT="0" distB="0" distL="0" distR="0" wp14:anchorId="4B1F2769" wp14:editId="22E0C68B">
            <wp:extent cx="5731510" cy="2327304"/>
            <wp:effectExtent l="0" t="0" r="2540" b="0"/>
            <wp:docPr id="49324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42933" name=""/>
                    <pic:cNvPicPr/>
                  </pic:nvPicPr>
                  <pic:blipFill rotWithShape="1">
                    <a:blip r:embed="rId14"/>
                    <a:srcRect l="27748" t="28872" r="5786" b="23135"/>
                    <a:stretch/>
                  </pic:blipFill>
                  <pic:spPr bwMode="auto">
                    <a:xfrm>
                      <a:off x="0" y="0"/>
                      <a:ext cx="5731510" cy="232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AFEE" w14:textId="175594F9" w:rsidR="006B13A0" w:rsidRPr="007C4753" w:rsidRDefault="006B13A0" w:rsidP="006B13A0">
      <w:pPr>
        <w:rPr>
          <w:b/>
          <w:bCs/>
        </w:rPr>
      </w:pPr>
      <w:r w:rsidRPr="007C4753">
        <w:rPr>
          <w:b/>
          <w:bCs/>
        </w:rPr>
        <w:t>Figure 3: OxLEP Investment and Internationalisation KPIs 2024/5</w:t>
      </w:r>
    </w:p>
    <w:p w14:paraId="25A27461" w14:textId="77777777" w:rsidR="006B13A0" w:rsidRDefault="006B13A0" w:rsidP="008A22C6"/>
    <w:p w14:paraId="07917216" w14:textId="2FAE5C93" w:rsidR="00596EF2" w:rsidRDefault="00596EF2" w:rsidP="008A22C6">
      <w:r w:rsidRPr="00F26742">
        <w:rPr>
          <w:noProof/>
        </w:rPr>
        <w:lastRenderedPageBreak/>
        <w:drawing>
          <wp:inline distT="0" distB="0" distL="0" distR="0" wp14:anchorId="68209319" wp14:editId="6921DA6F">
            <wp:extent cx="5731510" cy="3223895"/>
            <wp:effectExtent l="0" t="0" r="2540" b="0"/>
            <wp:docPr id="10015920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2009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05ED" w14:textId="3A1FB8B6" w:rsidR="00596EF2" w:rsidRPr="007C4753" w:rsidRDefault="00596EF2" w:rsidP="008A22C6">
      <w:pPr>
        <w:rPr>
          <w:b/>
          <w:bCs/>
        </w:rPr>
      </w:pPr>
      <w:r w:rsidRPr="007C4753">
        <w:rPr>
          <w:b/>
          <w:bCs/>
        </w:rPr>
        <w:t>Figure 4: OxLEP Foreign Direct Investment successes by sector 2023/4</w:t>
      </w:r>
    </w:p>
    <w:p w14:paraId="43F8B9D9" w14:textId="77777777" w:rsidR="00596EF2" w:rsidRDefault="00596EF2" w:rsidP="008A22C6"/>
    <w:p w14:paraId="3B770A8A" w14:textId="118CEF17" w:rsidR="00596EF2" w:rsidRDefault="007C4753" w:rsidP="008A22C6">
      <w:r w:rsidRPr="00F26742">
        <w:rPr>
          <w:noProof/>
        </w:rPr>
        <w:drawing>
          <wp:inline distT="0" distB="0" distL="0" distR="0" wp14:anchorId="66BD01BF" wp14:editId="1A9D4481">
            <wp:extent cx="5731510" cy="3223895"/>
            <wp:effectExtent l="0" t="0" r="2540" b="0"/>
            <wp:docPr id="146153508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3508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76C" w14:textId="7719B1E2" w:rsidR="007C4753" w:rsidRDefault="007C4753" w:rsidP="008A22C6">
      <w:pPr>
        <w:rPr>
          <w:b/>
          <w:bCs/>
        </w:rPr>
      </w:pPr>
      <w:r w:rsidRPr="007C4753">
        <w:rPr>
          <w:b/>
          <w:bCs/>
        </w:rPr>
        <w:t>Figure 5: OxLEP Foreign Direct Investment successes by country 2023/4</w:t>
      </w:r>
    </w:p>
    <w:p w14:paraId="7A3F7D41" w14:textId="77777777" w:rsidR="007C4753" w:rsidRDefault="007C4753" w:rsidP="008A22C6">
      <w:pPr>
        <w:rPr>
          <w:b/>
          <w:bCs/>
        </w:rPr>
      </w:pPr>
    </w:p>
    <w:p w14:paraId="6FE41A27" w14:textId="6AA9C188" w:rsidR="007C4753" w:rsidRDefault="007C4753" w:rsidP="008A22C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02C007C" wp14:editId="12F3F527">
            <wp:extent cx="5907405" cy="3175000"/>
            <wp:effectExtent l="0" t="0" r="0" b="6350"/>
            <wp:docPr id="2063436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1"/>
                    <a:stretch/>
                  </pic:blipFill>
                  <pic:spPr bwMode="auto">
                    <a:xfrm>
                      <a:off x="0" y="0"/>
                      <a:ext cx="590740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84084" w14:textId="3A655EC7" w:rsidR="007C4753" w:rsidRPr="007C4753" w:rsidRDefault="007C4753" w:rsidP="007C4753">
      <w:pPr>
        <w:ind w:left="501" w:hanging="360"/>
        <w:rPr>
          <w:rFonts w:ascii="Calibri" w:eastAsia="+mn-ea" w:hAnsi="Calibri" w:cs="+mn-cs"/>
          <w:b/>
          <w:bCs/>
          <w:kern w:val="24"/>
          <w:sz w:val="29"/>
          <w:szCs w:val="29"/>
        </w:rPr>
      </w:pPr>
      <w:r w:rsidRPr="007C4753">
        <w:rPr>
          <w:b/>
          <w:bCs/>
        </w:rPr>
        <w:t xml:space="preserve">Figure 6: Local Growth Fund </w:t>
      </w:r>
      <w:r w:rsidRPr="007C4753">
        <w:rPr>
          <w:rFonts w:ascii="Calibri" w:eastAsia="+mn-ea" w:hAnsi="Calibri" w:cs="+mn-cs"/>
          <w:b/>
          <w:bCs/>
          <w:kern w:val="24"/>
          <w:sz w:val="29"/>
          <w:szCs w:val="29"/>
        </w:rPr>
        <w:t>(LGF)–</w:t>
      </w:r>
      <w:r w:rsidRPr="007C4753">
        <w:rPr>
          <w:b/>
          <w:bCs/>
        </w:rPr>
        <w:t>HMG Deadline March 2025</w:t>
      </w:r>
    </w:p>
    <w:p w14:paraId="5567C455" w14:textId="57FFDC65" w:rsidR="007C4753" w:rsidRDefault="007C4753" w:rsidP="008A22C6">
      <w:pPr>
        <w:rPr>
          <w:b/>
          <w:bCs/>
        </w:rPr>
      </w:pPr>
    </w:p>
    <w:p w14:paraId="5B853187" w14:textId="44FD95AF" w:rsidR="007C4753" w:rsidRPr="007C4753" w:rsidRDefault="007C4753" w:rsidP="007C47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14E400" wp14:editId="2D18C0D6">
            <wp:extent cx="5731510" cy="1603967"/>
            <wp:effectExtent l="0" t="0" r="2540" b="0"/>
            <wp:docPr id="362330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3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2DCAC" w14:textId="4106E127" w:rsidR="007C4753" w:rsidRPr="007C4753" w:rsidRDefault="007C4753" w:rsidP="00051337">
      <w:pPr>
        <w:rPr>
          <w:b/>
          <w:bCs/>
        </w:rPr>
      </w:pPr>
      <w:r w:rsidRPr="007C4753"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Figure 7: </w:t>
      </w:r>
      <w:r w:rsidRPr="007C4753">
        <w:rPr>
          <w:b/>
          <w:bCs/>
        </w:rPr>
        <w:t>LGF (minus the 3 major projects)–HMG Deadline March 2025</w:t>
      </w:r>
    </w:p>
    <w:p w14:paraId="20867A48" w14:textId="6758AC17" w:rsidR="007C4753" w:rsidRDefault="007C4753" w:rsidP="007C4753">
      <w:pPr>
        <w:rPr>
          <w:rFonts w:eastAsia="Times New Roman" w:cs="Times New Roman"/>
          <w:color w:val="000000"/>
          <w:kern w:val="0"/>
          <w14:ligatures w14:val="none"/>
        </w:rPr>
      </w:pPr>
    </w:p>
    <w:p w14:paraId="50E58792" w14:textId="7927CFD8" w:rsidR="007C4753" w:rsidRDefault="006909E8" w:rsidP="007C4753">
      <w:pPr>
        <w:rPr>
          <w:rFonts w:eastAsia="Times New Roman" w:cs="Times New Roman"/>
          <w:color w:val="000000"/>
          <w:kern w:val="0"/>
          <w14:ligatures w14:val="none"/>
        </w:rPr>
      </w:pPr>
      <w:r>
        <w:rPr>
          <w:b/>
          <w:bCs/>
          <w:noProof/>
        </w:rPr>
        <w:drawing>
          <wp:inline distT="0" distB="0" distL="0" distR="0" wp14:anchorId="075D9ABE" wp14:editId="0769238E">
            <wp:extent cx="5731510" cy="2279471"/>
            <wp:effectExtent l="0" t="0" r="2540" b="6985"/>
            <wp:docPr id="9714552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65FF6" w14:textId="1BC2D040" w:rsidR="006909E8" w:rsidRPr="006909E8" w:rsidRDefault="006909E8" w:rsidP="006909E8">
      <w:pPr>
        <w:ind w:left="360" w:hanging="360"/>
        <w:rPr>
          <w:rFonts w:eastAsia="Times New Roman" w:cs="Times New Roman"/>
          <w:b/>
          <w:bCs/>
          <w:kern w:val="0"/>
          <w:lang w:eastAsia="en-GB"/>
          <w14:ligatures w14:val="none"/>
        </w:rPr>
      </w:pPr>
      <w:r w:rsidRPr="006909E8"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Figure 8: </w:t>
      </w:r>
      <w:r w:rsidRPr="006909E8">
        <w:rPr>
          <w:rFonts w:eastAsia="Times New Roman" w:cs="Times New Roman"/>
          <w:b/>
          <w:bCs/>
          <w:kern w:val="0"/>
          <w:lang w:eastAsia="en-GB"/>
          <w14:ligatures w14:val="none"/>
        </w:rPr>
        <w:t xml:space="preserve">Capital Programmes Getting Building Fund (GBF)–Deadline </w:t>
      </w:r>
      <w:proofErr w:type="gramStart"/>
      <w:r w:rsidRPr="006909E8">
        <w:rPr>
          <w:rFonts w:eastAsia="Times New Roman" w:cs="Times New Roman"/>
          <w:b/>
          <w:bCs/>
          <w:kern w:val="0"/>
          <w:lang w:eastAsia="en-GB"/>
          <w14:ligatures w14:val="none"/>
        </w:rPr>
        <w:t>March  2025</w:t>
      </w:r>
      <w:proofErr w:type="gramEnd"/>
    </w:p>
    <w:p w14:paraId="10878A5C" w14:textId="767C30FD" w:rsidR="006909E8" w:rsidRDefault="006909E8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</w:p>
    <w:p w14:paraId="6E3AA4B1" w14:textId="304C10C8" w:rsidR="006909E8" w:rsidRDefault="00051337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12C8A5E" wp14:editId="54C51D73">
            <wp:extent cx="5145405" cy="2981325"/>
            <wp:effectExtent l="0" t="0" r="0" b="9525"/>
            <wp:docPr id="589721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385A5" w14:textId="5BD6410C" w:rsidR="00051337" w:rsidRDefault="00051337" w:rsidP="007C4753">
      <w:pPr>
        <w:rPr>
          <w:b/>
          <w:bCs/>
        </w:rPr>
      </w:pPr>
      <w:r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Figure 9: </w:t>
      </w:r>
      <w:r>
        <w:rPr>
          <w:b/>
          <w:bCs/>
        </w:rPr>
        <w:t>Social Contract Programme</w:t>
      </w:r>
      <w:r w:rsidRPr="002D1E7E">
        <w:rPr>
          <w:b/>
          <w:bCs/>
        </w:rPr>
        <w:t xml:space="preserve"> Apprenticeships Levy Pledge total</w:t>
      </w:r>
    </w:p>
    <w:p w14:paraId="67F56285" w14:textId="77777777" w:rsidR="00051337" w:rsidRDefault="00051337" w:rsidP="007C4753">
      <w:pPr>
        <w:rPr>
          <w:b/>
          <w:bCs/>
        </w:rPr>
      </w:pPr>
    </w:p>
    <w:p w14:paraId="3DC8C682" w14:textId="558870B0" w:rsidR="00051337" w:rsidRDefault="009B02A0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  <w:r>
        <w:rPr>
          <w:b/>
          <w:bCs/>
          <w:noProof/>
        </w:rPr>
        <w:drawing>
          <wp:inline distT="0" distB="0" distL="0" distR="0" wp14:anchorId="6E57E8A7" wp14:editId="3D8541E8">
            <wp:extent cx="2984500" cy="2224051"/>
            <wp:effectExtent l="0" t="0" r="0" b="5080"/>
            <wp:docPr id="1579647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r="5722" b="28090"/>
                    <a:stretch/>
                  </pic:blipFill>
                  <pic:spPr bwMode="auto">
                    <a:xfrm>
                      <a:off x="0" y="0"/>
                      <a:ext cx="2999492" cy="22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BD24F" w14:textId="5DCD36E2" w:rsidR="009B02A0" w:rsidRDefault="009B02A0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Figure 10: Top </w:t>
      </w:r>
      <w:r w:rsidRPr="002D1E7E">
        <w:rPr>
          <w:b/>
          <w:bCs/>
        </w:rPr>
        <w:t xml:space="preserve">Apprenticeships Levy </w:t>
      </w:r>
      <w:r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Pledgers by Organisation </w:t>
      </w:r>
    </w:p>
    <w:p w14:paraId="3C8B65DC" w14:textId="77777777" w:rsidR="009B02A0" w:rsidRDefault="009B02A0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</w:p>
    <w:tbl>
      <w:tblPr>
        <w:tblW w:w="10349" w:type="dxa"/>
        <w:tblInd w:w="-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082"/>
        <w:gridCol w:w="1817"/>
        <w:gridCol w:w="2450"/>
      </w:tblGrid>
      <w:tr w:rsidR="005F2764" w:rsidRPr="005F2764" w14:paraId="4518EB22" w14:textId="77777777" w:rsidTr="0005274F">
        <w:trPr>
          <w:trHeight w:val="564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0E7F212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en-GB"/>
                <w14:ligatures w14:val="none"/>
              </w:rPr>
              <w:t>Activity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D3E7F38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proofErr w:type="gramStart"/>
            <w:r w:rsidRPr="005F2764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en-GB"/>
                <w14:ligatures w14:val="none"/>
              </w:rPr>
              <w:t>2 year</w:t>
            </w:r>
            <w:proofErr w:type="gramEnd"/>
            <w:r w:rsidRPr="005F2764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en-GB"/>
                <w14:ligatures w14:val="none"/>
              </w:rPr>
              <w:t xml:space="preserve"> target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1A369A7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eastAsia="en-GB"/>
                <w14:ligatures w14:val="none"/>
              </w:rPr>
              <w:t>Output to date</w:t>
            </w:r>
          </w:p>
        </w:tc>
      </w:tr>
      <w:tr w:rsidR="005F2764" w:rsidRPr="005F2764" w14:paraId="1F10F9F2" w14:textId="77777777" w:rsidTr="0005274F">
        <w:trPr>
          <w:trHeight w:val="390"/>
        </w:trPr>
        <w:tc>
          <w:tcPr>
            <w:tcW w:w="60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8014B6B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Business support Tool</w:t>
            </w:r>
          </w:p>
        </w:tc>
        <w:tc>
          <w:tcPr>
            <w:tcW w:w="18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4B7406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N/A</w:t>
            </w:r>
          </w:p>
        </w:tc>
        <w:tc>
          <w:tcPr>
            <w:tcW w:w="24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52F9FC4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691</w:t>
            </w:r>
          </w:p>
        </w:tc>
      </w:tr>
      <w:tr w:rsidR="005F2764" w:rsidRPr="005F2764" w14:paraId="27E2F259" w14:textId="77777777" w:rsidTr="0005274F">
        <w:trPr>
          <w:trHeight w:val="390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9518749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Business Support Plan’s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7BFFB92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2500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B22FA24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1792</w:t>
            </w:r>
          </w:p>
        </w:tc>
      </w:tr>
      <w:tr w:rsidR="005F2764" w:rsidRPr="005F2764" w14:paraId="170C6D02" w14:textId="77777777" w:rsidTr="005F2764">
        <w:trPr>
          <w:trHeight w:val="278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8780DC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Hours of support delivered through webinars and workshops etc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40B690F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2900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6E55576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2153</w:t>
            </w:r>
          </w:p>
        </w:tc>
      </w:tr>
      <w:tr w:rsidR="005F2764" w:rsidRPr="005F2764" w14:paraId="1CC372B5" w14:textId="77777777" w:rsidTr="005F2764">
        <w:trPr>
          <w:trHeight w:val="297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2BE90BC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Exporting specialist support - hours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3C3602C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70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94D7D0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N/A</w:t>
            </w:r>
          </w:p>
        </w:tc>
      </w:tr>
      <w:tr w:rsidR="005F2764" w:rsidRPr="005F2764" w14:paraId="40EE765C" w14:textId="77777777" w:rsidTr="005F2764">
        <w:trPr>
          <w:trHeight w:val="290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1143D75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Mentoring support - hours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08671B7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240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0C56CD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103</w:t>
            </w:r>
          </w:p>
        </w:tc>
      </w:tr>
      <w:tr w:rsidR="005F2764" w:rsidRPr="005F2764" w14:paraId="712D6F03" w14:textId="77777777" w:rsidTr="005F2764">
        <w:trPr>
          <w:trHeight w:val="282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73F8EFA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Strategic business reviews – hours of support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C5CC157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80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D723379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B050"/>
                <w:kern w:val="24"/>
                <w:sz w:val="22"/>
                <w:szCs w:val="22"/>
                <w:lang w:eastAsia="en-GB"/>
                <w14:ligatures w14:val="none"/>
              </w:rPr>
              <w:t>107 – target achieved</w:t>
            </w:r>
          </w:p>
        </w:tc>
      </w:tr>
      <w:tr w:rsidR="005F2764" w:rsidRPr="005F2764" w14:paraId="3C4DC57B" w14:textId="77777777" w:rsidTr="005F2764">
        <w:trPr>
          <w:trHeight w:val="205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7708BFEC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Jobs created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5B7A810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80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1B733E0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B050"/>
                <w:kern w:val="24"/>
                <w:sz w:val="22"/>
                <w:szCs w:val="22"/>
                <w:lang w:eastAsia="en-GB"/>
                <w14:ligatures w14:val="none"/>
              </w:rPr>
              <w:t>222 – target achieved</w:t>
            </w:r>
          </w:p>
        </w:tc>
      </w:tr>
      <w:tr w:rsidR="005F2764" w:rsidRPr="005F2764" w14:paraId="4DB4EF4F" w14:textId="77777777" w:rsidTr="0005274F">
        <w:trPr>
          <w:trHeight w:val="390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E9DE6DD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Jobs safeguarded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AAE6455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600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6F4BE59F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553</w:t>
            </w:r>
          </w:p>
        </w:tc>
      </w:tr>
      <w:tr w:rsidR="005F2764" w:rsidRPr="005F2764" w14:paraId="33823C1E" w14:textId="77777777" w:rsidTr="005F2764">
        <w:trPr>
          <w:trHeight w:val="347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314D8EEE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lastRenderedPageBreak/>
              <w:t>Referrals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07710327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500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1592959C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B050"/>
                <w:kern w:val="24"/>
                <w:sz w:val="22"/>
                <w:szCs w:val="22"/>
                <w:lang w:eastAsia="en-GB"/>
                <w14:ligatures w14:val="none"/>
              </w:rPr>
              <w:t>2677 – target achieved</w:t>
            </w:r>
          </w:p>
        </w:tc>
      </w:tr>
      <w:tr w:rsidR="005F2764" w:rsidRPr="005F2764" w14:paraId="41323A0A" w14:textId="77777777" w:rsidTr="005F2764">
        <w:trPr>
          <w:trHeight w:val="283"/>
        </w:trPr>
        <w:tc>
          <w:tcPr>
            <w:tcW w:w="6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26491873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Business surviving beyond 6 months</w:t>
            </w:r>
          </w:p>
        </w:tc>
        <w:tc>
          <w:tcPr>
            <w:tcW w:w="1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D3BCD8A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0000" w:themeColor="dark1"/>
                <w:kern w:val="24"/>
                <w:sz w:val="22"/>
                <w:szCs w:val="22"/>
                <w:lang w:eastAsia="en-GB"/>
                <w14:ligatures w14:val="none"/>
              </w:rPr>
              <w:t>200</w:t>
            </w:r>
          </w:p>
        </w:tc>
        <w:tc>
          <w:tcPr>
            <w:tcW w:w="2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14:paraId="5A491833" w14:textId="77777777" w:rsidR="005F2764" w:rsidRPr="005F2764" w:rsidRDefault="005F2764" w:rsidP="005F2764">
            <w:pPr>
              <w:rPr>
                <w:rFonts w:eastAsia="Times New Roman"/>
                <w:kern w:val="0"/>
                <w:sz w:val="36"/>
                <w:szCs w:val="36"/>
                <w:lang w:eastAsia="en-GB"/>
                <w14:ligatures w14:val="none"/>
              </w:rPr>
            </w:pPr>
            <w:r w:rsidRPr="005F2764">
              <w:rPr>
                <w:rFonts w:ascii="Calibri" w:eastAsia="Times New Roman" w:hAnsi="Calibri" w:cs="Calibri"/>
                <w:color w:val="00B050"/>
                <w:kern w:val="24"/>
                <w:sz w:val="22"/>
                <w:szCs w:val="22"/>
                <w:lang w:eastAsia="en-GB"/>
                <w14:ligatures w14:val="none"/>
              </w:rPr>
              <w:t>519 – target achieved</w:t>
            </w:r>
          </w:p>
        </w:tc>
      </w:tr>
    </w:tbl>
    <w:p w14:paraId="4EE789DB" w14:textId="737F46B7" w:rsidR="005F2764" w:rsidRDefault="005F2764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14:ligatures w14:val="none"/>
        </w:rPr>
        <w:t xml:space="preserve">Figure 11: Growth Hub Support to date 23/4 and 24/25. </w:t>
      </w:r>
    </w:p>
    <w:p w14:paraId="5B935F63" w14:textId="77777777" w:rsidR="00D53BDC" w:rsidRDefault="00D53BDC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</w:p>
    <w:p w14:paraId="2609CF21" w14:textId="77777777" w:rsidR="00D53BDC" w:rsidRPr="006909E8" w:rsidRDefault="00D53BDC" w:rsidP="007C4753">
      <w:pPr>
        <w:rPr>
          <w:rFonts w:eastAsia="Times New Roman" w:cs="Times New Roman"/>
          <w:b/>
          <w:bCs/>
          <w:color w:val="000000"/>
          <w:kern w:val="0"/>
          <w14:ligatures w14:val="none"/>
        </w:rPr>
      </w:pPr>
    </w:p>
    <w:sectPr w:rsidR="00D53BDC" w:rsidRPr="006909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8DC"/>
    <w:multiLevelType w:val="hybridMultilevel"/>
    <w:tmpl w:val="3DBCE07A"/>
    <w:lvl w:ilvl="0" w:tplc="641E5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A240F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32A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40A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64F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08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041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7A7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127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8C30BB"/>
    <w:multiLevelType w:val="multilevel"/>
    <w:tmpl w:val="E67CE66C"/>
    <w:styleLink w:val="StyleNumberedLeft0cmHanging075cm"/>
    <w:lvl w:ilvl="0">
      <w:start w:val="1"/>
      <w:numFmt w:val="decimal"/>
      <w:pStyle w:val="ListParagraph"/>
      <w:lvlText w:val="%1."/>
      <w:lvlJc w:val="left"/>
      <w:pPr>
        <w:ind w:left="501" w:hanging="360"/>
      </w:pPr>
      <w:rPr>
        <w:rFonts w:ascii="Arial" w:hAnsi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" w:eastAsia="Times New Roman" w:hAnsi="Arial"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7D5729"/>
    <w:multiLevelType w:val="multilevel"/>
    <w:tmpl w:val="7FDEEDC2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" w:eastAsia="Times New Roman" w:hAnsi="Arial"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2D60C5"/>
    <w:multiLevelType w:val="hybridMultilevel"/>
    <w:tmpl w:val="060C5A78"/>
    <w:lvl w:ilvl="0" w:tplc="4B80D1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BCA8FE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DA7BE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FA18E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A22719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6B43CB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046A50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A907B8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FF8120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98365C6"/>
    <w:multiLevelType w:val="multilevel"/>
    <w:tmpl w:val="E67CE66C"/>
    <w:numStyleLink w:val="StyleNumberedLeft0cmHanging075cm"/>
  </w:abstractNum>
  <w:num w:numId="1" w16cid:durableId="1497380761">
    <w:abstractNumId w:val="1"/>
  </w:num>
  <w:num w:numId="2" w16cid:durableId="932474917">
    <w:abstractNumId w:val="4"/>
    <w:lvlOverride w:ilvl="0">
      <w:lvl w:ilvl="0">
        <w:start w:val="1"/>
        <w:numFmt w:val="decimal"/>
        <w:pStyle w:val="ListParagraph"/>
        <w:lvlText w:val="%1."/>
        <w:lvlJc w:val="left"/>
        <w:pPr>
          <w:ind w:left="501" w:hanging="360"/>
        </w:pPr>
        <w:rPr>
          <w:rFonts w:ascii="Arial" w:hAnsi="Arial"/>
          <w:b/>
          <w:bCs/>
          <w:color w:val="000000"/>
          <w:sz w:val="24"/>
        </w:rPr>
      </w:lvl>
    </w:lvlOverride>
  </w:num>
  <w:num w:numId="3" w16cid:durableId="948390339">
    <w:abstractNumId w:val="4"/>
  </w:num>
  <w:num w:numId="4" w16cid:durableId="1491289508">
    <w:abstractNumId w:val="3"/>
  </w:num>
  <w:num w:numId="5" w16cid:durableId="658656549">
    <w:abstractNumId w:val="0"/>
  </w:num>
  <w:num w:numId="6" w16cid:durableId="2124956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88D"/>
    <w:rsid w:val="00051337"/>
    <w:rsid w:val="000B4310"/>
    <w:rsid w:val="004000D7"/>
    <w:rsid w:val="00504E43"/>
    <w:rsid w:val="00596EF2"/>
    <w:rsid w:val="005F17FD"/>
    <w:rsid w:val="005F2764"/>
    <w:rsid w:val="006909E8"/>
    <w:rsid w:val="006B13A0"/>
    <w:rsid w:val="007908F4"/>
    <w:rsid w:val="007C4753"/>
    <w:rsid w:val="0080088D"/>
    <w:rsid w:val="00803740"/>
    <w:rsid w:val="008A22C6"/>
    <w:rsid w:val="009B02A0"/>
    <w:rsid w:val="00C07F80"/>
    <w:rsid w:val="00D53BDC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52A11"/>
  <w15:chartTrackingRefBased/>
  <w15:docId w15:val="{3F09D8A5-B33C-4EF8-845B-7C98C9CC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rsid w:val="007C4753"/>
    <w:pPr>
      <w:numPr>
        <w:numId w:val="2"/>
      </w:numPr>
      <w:tabs>
        <w:tab w:val="left" w:pos="426"/>
      </w:tabs>
      <w:spacing w:after="120"/>
    </w:pPr>
    <w:rPr>
      <w:rFonts w:eastAsia="Times New Roman" w:cs="Times New Roman"/>
      <w:color w:val="000000"/>
      <w:kern w:val="0"/>
      <w:lang w:eastAsia="en-GB"/>
      <w14:ligatures w14:val="none"/>
    </w:rPr>
  </w:style>
  <w:style w:type="numbering" w:customStyle="1" w:styleId="StyleNumberedLeft0cmHanging075cm">
    <w:name w:val="Style Numbered Left:  0 cm Hanging:  0.75 cm"/>
    <w:basedOn w:val="NoList"/>
    <w:rsid w:val="007C4753"/>
    <w:pPr>
      <w:numPr>
        <w:numId w:val="1"/>
      </w:numPr>
    </w:pPr>
  </w:style>
  <w:style w:type="character" w:customStyle="1" w:styleId="ListParagraphChar">
    <w:name w:val="List Paragraph Char"/>
    <w:link w:val="ListParagraph"/>
    <w:uiPriority w:val="34"/>
    <w:rsid w:val="007C4753"/>
    <w:rPr>
      <w:rFonts w:eastAsia="Times New Roman" w:cs="Times New Roman"/>
      <w:color w:val="000000"/>
      <w:kern w:val="0"/>
      <w:lang w:eastAsia="en-GB"/>
      <w14:ligatures w14:val="none"/>
    </w:rPr>
  </w:style>
  <w:style w:type="numbering" w:customStyle="1" w:styleId="StyleNumberedLeft0cmHanging075cm1">
    <w:name w:val="Style Numbered Left:  0 cm Hanging:  0.75 cm1"/>
    <w:basedOn w:val="NoList"/>
    <w:rsid w:val="007C4753"/>
  </w:style>
  <w:style w:type="numbering" w:customStyle="1" w:styleId="StyleNumberedLeft0cmHanging075cm2">
    <w:name w:val="Style Numbered Left:  0 cm Hanging:  0.75 cm2"/>
    <w:basedOn w:val="NoList"/>
    <w:rsid w:val="006909E8"/>
  </w:style>
  <w:style w:type="character" w:styleId="CommentReference">
    <w:name w:val="annotation reference"/>
    <w:semiHidden/>
    <w:rsid w:val="00D53B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3BDC"/>
    <w:pPr>
      <w:spacing w:after="120"/>
    </w:pPr>
    <w:rPr>
      <w:rFonts w:eastAsia="Times New Roman" w:cs="Times New Roman"/>
      <w:color w:val="000000"/>
      <w:kern w:val="0"/>
      <w:sz w:val="20"/>
      <w:szCs w:val="20"/>
      <w:lang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semiHidden/>
    <w:rsid w:val="00D53BDC"/>
    <w:rPr>
      <w:rFonts w:eastAsia="Times New Roman" w:cs="Times New Roman"/>
      <w:color w:val="000000"/>
      <w:kern w:val="0"/>
      <w:sz w:val="20"/>
      <w:szCs w:val="20"/>
      <w:lang w:eastAsia="en-GB"/>
      <w14:ligatures w14:val="none"/>
    </w:rPr>
  </w:style>
  <w:style w:type="numbering" w:customStyle="1" w:styleId="StyleNumberedLeft0cmHanging075cm3">
    <w:name w:val="Style Numbered Left:  0 cm Hanging:  0.75 cm3"/>
    <w:basedOn w:val="NoList"/>
    <w:rsid w:val="00D53BDC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xfordcalling.co.uk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oxfordshirelep.com/investing-oxfordshire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289e97-0d63-4019-8f44-420cabf9f53d" xsi:nil="true"/>
    <lcf76f155ced4ddcb4097134ff3c332f xmlns="5dbcacbc-e47f-48b8-b755-e7c1dfdf10a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D48527A125645B3F8CD02DABC791E" ma:contentTypeVersion="16" ma:contentTypeDescription="Create a new document." ma:contentTypeScope="" ma:versionID="2b1135653a7f28f22a8b3e2a7f4035cd">
  <xsd:schema xmlns:xsd="http://www.w3.org/2001/XMLSchema" xmlns:xs="http://www.w3.org/2001/XMLSchema" xmlns:p="http://schemas.microsoft.com/office/2006/metadata/properties" xmlns:ns2="5dbcacbc-e47f-48b8-b755-e7c1dfdf10ad" xmlns:ns3="f4289e97-0d63-4019-8f44-420cabf9f53d" targetNamespace="http://schemas.microsoft.com/office/2006/metadata/properties" ma:root="true" ma:fieldsID="05ed985f450589b0c177710fcea0758c" ns2:_="" ns3:_="">
    <xsd:import namespace="5dbcacbc-e47f-48b8-b755-e7c1dfdf10ad"/>
    <xsd:import namespace="f4289e97-0d63-4019-8f44-420cabf9f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cacbc-e47f-48b8-b755-e7c1dfdf1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dd4ae1b-e163-46e9-a8ef-d6e330c9a7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89e97-0d63-4019-8f44-420cabf9f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06abcc3-4659-4bcd-9e29-8735d4091498}" ma:internalName="TaxCatchAll" ma:showField="CatchAllData" ma:web="f4289e97-0d63-4019-8f44-420cabf9f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068CD-14E0-4691-BC5E-CC2BB7011856}">
  <ds:schemaRefs>
    <ds:schemaRef ds:uri="http://schemas.microsoft.com/office/2006/metadata/properties"/>
    <ds:schemaRef ds:uri="http://schemas.microsoft.com/office/infopath/2007/PartnerControls"/>
    <ds:schemaRef ds:uri="f4289e97-0d63-4019-8f44-420cabf9f53d"/>
    <ds:schemaRef ds:uri="5dbcacbc-e47f-48b8-b755-e7c1dfdf10ad"/>
  </ds:schemaRefs>
</ds:datastoreItem>
</file>

<file path=customXml/itemProps2.xml><?xml version="1.0" encoding="utf-8"?>
<ds:datastoreItem xmlns:ds="http://schemas.openxmlformats.org/officeDocument/2006/customXml" ds:itemID="{52935B2D-52FA-4433-AC86-992B6F6B7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95C74B-6F4E-4480-99B0-02BE74291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cacbc-e47f-48b8-b755-e7c1dfdf10ad"/>
    <ds:schemaRef ds:uri="f4289e97-0d63-4019-8f44-420cabf9f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D62D5D-6CE6-4A9D-AFC0-4B407EBC8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LAVALLIN Clayton</dc:creator>
  <cp:keywords/>
  <dc:description/>
  <cp:lastModifiedBy>LAVALLIN Clayton</cp:lastModifiedBy>
  <cp:revision>2</cp:revision>
  <dcterms:created xsi:type="dcterms:W3CDTF">2025-01-06T16:24:00Z</dcterms:created>
  <dcterms:modified xsi:type="dcterms:W3CDTF">2025-01-06T16:24:00Z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0x010100B97D48527A125645B3F8CD02DABC791E</vt:lpwstr>
  </property>
</Properties>
</file>